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13" w:rsidRPr="00274713" w:rsidRDefault="00274713" w:rsidP="0027471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t xml:space="preserve">Разместите на </w:t>
      </w:r>
      <w:r w:rsidRPr="00274713">
        <w:t>http://www.anastasievkasp.ru/</w:t>
      </w:r>
      <w:r>
        <w:t xml:space="preserve"> ссылкой</w:t>
      </w:r>
      <w:proofErr w:type="gramStart"/>
      <w:r w:rsidRPr="0027471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7471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О</w:t>
      </w:r>
      <w:proofErr w:type="gramEnd"/>
      <w:r w:rsidRPr="0027471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порядке взимания государственной пошлины в сфере оборота оружия</w:t>
      </w:r>
    </w:p>
    <w:p w:rsidR="00274713" w:rsidRDefault="00274713" w:rsidP="00274713"/>
    <w:p w:rsidR="00274713" w:rsidRDefault="00274713" w:rsidP="00274713"/>
    <w:p w:rsidR="00274713" w:rsidRDefault="00274713" w:rsidP="0027471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 порядке взимания государственной пошлины в сфере оборота оружия</w:t>
      </w:r>
    </w:p>
    <w:p w:rsidR="00274713" w:rsidRDefault="00274713" w:rsidP="002747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Размер государственной пошлины,  уплачиваемой с 1 октября 2017 г. за совершение юридически значимых действий в сфере оборота оружия, Устанавливаются Федеральными законами от 1 июля 2017 г. №145-ФЗ «О внесении изменений в статью 333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  <w:t xml:space="preserve">33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Налогового кодекса Российской Федерации» и №151-ФЗ «О внесении изменений в Федеральный закон «Об оружии».</w:t>
      </w:r>
    </w:p>
    <w:p w:rsidR="00274713" w:rsidRDefault="00274713" w:rsidP="0027471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Порядок уплаты и сроки уплаты государственной пошлины за совершение юридически значимых действий, определенных главой 25.3 Кодекса, установлен статьей 333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vertAlign w:val="superscript"/>
        </w:rPr>
        <w:t>18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Кодекса.</w:t>
      </w:r>
    </w:p>
    <w:p w:rsidR="00274713" w:rsidRDefault="00274713" w:rsidP="00274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обращении за совершением юридически значимых действий в сфере оборота оружия государственная пошлина уплачивается до подачи заявлений и (или) документов на совершение таких действий либо до подачи соответствующих документов (подпункт 6 пункта 1 статьи 333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18 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Кодекса).</w:t>
      </w:r>
    </w:p>
    <w:p w:rsidR="00274713" w:rsidRDefault="00274713" w:rsidP="00274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Государственная пошлина уплачивается по месту совершения юридически значимого действия в наличной или безналичной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(пункт 3 статьи 333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18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Кодекса).</w:t>
      </w:r>
    </w:p>
    <w:p w:rsidR="00274713" w:rsidRDefault="00274713" w:rsidP="00274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 уплаты государственной пошлины плательщиком в безналичной форме подтверждается платежным поручением с отметкой банка или соответствующего территориального органа Федерального казначейства (иного органа, осуществляющего открытие и ведение счетов), в том числе производящего расчеты в электронной форме, о его исполнении.</w:t>
      </w:r>
    </w:p>
    <w:p w:rsidR="00274713" w:rsidRDefault="00274713" w:rsidP="00274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 уплаты государственной пошлины плательщиком в наличной форме подтверждается либо квитанцией установленной формы, выдаваемой плательщику банком, либо квитанцией, выдаваемой плательщику должностным лицом или кассой органа, в который производилась оплата.</w:t>
      </w:r>
    </w:p>
    <w:p w:rsidR="00274713" w:rsidRDefault="00274713" w:rsidP="00274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 уплаты государственной пошлины плательщиком подтверждается также с использованием информации об уплате государственной пошлины, содержащейся в Государственной информационной системе о государственных и муниципальных платежах (далее – ГИС ГМП), предусмотренной Федеральным законом от 27 июля 2010 г. № 210-ФЗ «Об организации представления государственных и муниципальных услуг».</w:t>
      </w:r>
    </w:p>
    <w:p w:rsidR="00274713" w:rsidRDefault="00274713" w:rsidP="00274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наличии информации об уплате государственной пошлины, содержащейся в ГИС ГМП, дополнительное подтверждение уплаты плательщиком государственной пошлины не требуется.</w:t>
      </w:r>
    </w:p>
    <w:p w:rsidR="00274713" w:rsidRDefault="00274713" w:rsidP="00274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стимулирования представления государственных услуг в электронной форме пунктом 4 статьи 333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35 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Кодекса предусмотрено, что размеры государственной пошлины, установленные главой 25.3 Кодекса, за совершение юридически значимых действий в отношении физических лиц,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 1 января 2019 г. применяются с учетом коэффициента 0,7, (то есть со скидкой в 30%) в случае подачи заявления о совершении указанных действий и уплаты соответствующей государственной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пошлины с использованием единого портала государственных и муниципальных услуг, региональных порталов государственных и муниципальных услуг и иных порталов, интегрированных единой системой идентификации и аутентификации.</w:t>
      </w:r>
    </w:p>
    <w:p w:rsidR="00274713" w:rsidRDefault="00274713" w:rsidP="00274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Плательщик имеет возможность исполнить обязанность по уплате налогов, сборов и иных платежей путем представления в банк соответствующего поручения на перечисление денежных средств как на бумажном носителе, так и в электронном виде по сети Интернет либо путем внесения денежных средств через банкоматы и платежные терминалы кредитной организации.</w:t>
      </w:r>
    </w:p>
    <w:p w:rsidR="00274713" w:rsidRDefault="00274713" w:rsidP="00274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Кодексом не предусмотрена уплата государственной пошлины через юридических лиц, не являющихся банками, в том числе через платежных агентов и банковских платежных агентов, а также через платежные терминалы платежных агентов.</w:t>
      </w:r>
    </w:p>
    <w:p w:rsidR="00274713" w:rsidRDefault="00274713" w:rsidP="00274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Уплата сбора, в частности, государственной пошлины, за плательщика сбора может осуществляться иным лицом, в том числе представителем плательщика сбора (пункты 1 и 8 статьи 45 Кодекса).</w:t>
      </w:r>
    </w:p>
    <w:p w:rsidR="00274713" w:rsidRDefault="00274713" w:rsidP="00274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плательщик сбора (государственной пошлины) не имеет возможности самостоятельно уплатить данный сбор, то согласно статье 26 Кодекса плательщик сбора (государственной пошлины) может участвовать в отношениях, регулируемых законодательством о налогах и сборах через законного или уполномоченного представителя, если иное не предусмотрено Кодексом (пункт 1 статьи 26 Кодекса). Полномочия представителя должны быть документально подтверждены в соответствии с Кодексом и иными федеральными законами (пункт 3 статьи 26 Кодекса).</w:t>
      </w:r>
    </w:p>
    <w:p w:rsidR="00274713" w:rsidRDefault="00274713" w:rsidP="00274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Законными представителями плательщика сбора (государственной пошлины) – организации признаются лица, уполномоченные представлять указанную организацию на основании закона или ее учредительных документов (статья 27 Кодекса).</w:t>
      </w:r>
    </w:p>
    <w:p w:rsidR="00274713" w:rsidRDefault="00274713" w:rsidP="00274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Законными представителями плательщика сбора (государственной пошлины) – физического лица признаются лица, выступающие в качестве его представителей в соответствии с гражданским законодательством Российской Федерации.</w:t>
      </w:r>
    </w:p>
    <w:p w:rsidR="00274713" w:rsidRDefault="00274713" w:rsidP="00274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уплате государственной пошлины за совершение вышеуказанных действий представителем или иным лицом за плательщика государственной пошлины, в платежном документе на перечисление суммы государственной пошлины в бюджет должно быть указано, что представитель или иное лицо действуют от имени ее плательщика.</w:t>
      </w:r>
    </w:p>
    <w:p w:rsidR="00274713" w:rsidRDefault="00274713" w:rsidP="00274713">
      <w:r>
        <w:t xml:space="preserve"> </w:t>
      </w:r>
      <w:r>
        <w:br w:type="page"/>
      </w:r>
    </w:p>
    <w:tbl>
      <w:tblPr>
        <w:tblW w:w="0" w:type="auto"/>
        <w:tblCellSpacing w:w="15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077"/>
        <w:gridCol w:w="2347"/>
        <w:gridCol w:w="2391"/>
        <w:gridCol w:w="3026"/>
      </w:tblGrid>
      <w:tr w:rsidR="00274713" w:rsidTr="00274713">
        <w:trPr>
          <w:tblCellSpacing w:w="15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КБК для ЦЛРР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Росгвардии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Ростовской области</w:t>
            </w:r>
          </w:p>
        </w:tc>
      </w:tr>
      <w:tr w:rsidR="00274713" w:rsidTr="00274713">
        <w:trPr>
          <w:tblCellSpacing w:w="15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ФИЗИЧЕСКИЕ ЛИЦА</w:t>
            </w:r>
          </w:p>
        </w:tc>
      </w:tr>
      <w:tr w:rsidR="00274713" w:rsidTr="00274713">
        <w:trPr>
          <w:tblCellSpacing w:w="15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Лицензии физических лиц</w:t>
            </w:r>
          </w:p>
        </w:tc>
      </w:tr>
      <w:tr w:rsidR="00274713" w:rsidTr="00274713">
        <w:trPr>
          <w:tblCellSpacing w:w="15" w:type="dxa"/>
        </w:trPr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лицензии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выдача (2000 т.р.)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продление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переоформление (250 р.)</w:t>
            </w:r>
          </w:p>
        </w:tc>
      </w:tr>
      <w:tr w:rsidR="00274713" w:rsidTr="00274713">
        <w:trPr>
          <w:tblCellSpacing w:w="15" w:type="dxa"/>
        </w:trPr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ЛКГ,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</w:t>
            </w:r>
            <w:proofErr w:type="spellEnd"/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180 108 0744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180 108 0477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</w:t>
            </w:r>
          </w:p>
        </w:tc>
      </w:tr>
      <w:tr w:rsidR="00274713" w:rsidTr="00274713">
        <w:trPr>
          <w:tblCellSpacing w:w="15" w:type="dxa"/>
        </w:trPr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лицензии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выдача (500 р.)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продление (500 р.)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переоформление (250 р.)</w:t>
            </w:r>
          </w:p>
        </w:tc>
      </w:tr>
      <w:tr w:rsidR="00274713" w:rsidTr="00274713">
        <w:trPr>
          <w:tblCellSpacing w:w="15" w:type="dxa"/>
        </w:trPr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ЛОа</w:t>
            </w:r>
            <w:proofErr w:type="spellEnd"/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180 108 0744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180 108 0744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180 108 0744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</w:t>
            </w:r>
          </w:p>
        </w:tc>
      </w:tr>
      <w:tr w:rsidR="00274713" w:rsidTr="00274713">
        <w:trPr>
          <w:tblCellSpacing w:w="15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Разрешения физических лиц</w:t>
            </w:r>
          </w:p>
        </w:tc>
      </w:tr>
      <w:tr w:rsidR="00274713" w:rsidTr="00274713">
        <w:trPr>
          <w:tblCellSpacing w:w="15" w:type="dxa"/>
        </w:trPr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разрешения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выдача (500 р.)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продление (500 р.)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переоформление (250 р.)</w:t>
            </w:r>
          </w:p>
        </w:tc>
      </w:tr>
      <w:tr w:rsidR="00274713" w:rsidTr="00274713">
        <w:trPr>
          <w:tblCellSpacing w:w="15" w:type="dxa"/>
        </w:trPr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РВГ,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РКСа</w:t>
            </w:r>
            <w:proofErr w:type="spellEnd"/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180 108 0744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180 108 0744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180 108 0744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</w:t>
            </w:r>
          </w:p>
        </w:tc>
      </w:tr>
      <w:tr w:rsidR="00274713" w:rsidTr="00274713">
        <w:trPr>
          <w:tblCellSpacing w:w="15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Удостоверение частного охранника</w:t>
            </w:r>
          </w:p>
        </w:tc>
      </w:tr>
      <w:tr w:rsidR="00274713" w:rsidTr="00274713">
        <w:trPr>
          <w:tblCellSpacing w:w="15" w:type="dxa"/>
        </w:trPr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выдача (дубликат) (2000 р.)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продление (650 р.)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переоформление (350 р.)</w:t>
            </w:r>
          </w:p>
        </w:tc>
      </w:tr>
      <w:tr w:rsidR="00274713" w:rsidTr="00274713">
        <w:trPr>
          <w:tblCellSpacing w:w="15" w:type="dxa"/>
        </w:trPr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УЧО</w:t>
            </w:r>
          </w:p>
        </w:tc>
        <w:tc>
          <w:tcPr>
            <w:tcW w:w="77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180 108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0719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00 11 000 110</w:t>
            </w:r>
          </w:p>
        </w:tc>
      </w:tr>
      <w:tr w:rsidR="00274713" w:rsidTr="00274713">
        <w:trPr>
          <w:tblCellSpacing w:w="15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ЮРИДИЧЕСКИЕ ЛИЦА</w:t>
            </w:r>
          </w:p>
        </w:tc>
      </w:tr>
      <w:tr w:rsidR="00274713" w:rsidTr="00274713">
        <w:trPr>
          <w:tblCellSpacing w:w="15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Лицензии юридических лиц</w:t>
            </w:r>
          </w:p>
        </w:tc>
      </w:tr>
      <w:tr w:rsidR="00274713" w:rsidTr="00274713">
        <w:trPr>
          <w:tblCellSpacing w:w="15" w:type="dxa"/>
        </w:trPr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лицензии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выдача (2000 т.р.)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продление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переоформление (250 р.)</w:t>
            </w:r>
          </w:p>
        </w:tc>
      </w:tr>
      <w:tr w:rsidR="00274713" w:rsidTr="00274713">
        <w:trPr>
          <w:tblCellSpacing w:w="15" w:type="dxa"/>
        </w:trPr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ЛПР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180 108 0744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180 108 0744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</w:t>
            </w:r>
          </w:p>
        </w:tc>
      </w:tr>
      <w:tr w:rsidR="00274713" w:rsidTr="00274713">
        <w:trPr>
          <w:tblCellSpacing w:w="15" w:type="dxa"/>
        </w:trPr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лицензии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 выдача (7500 т.р.)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2. Выдача дубликата лицензии (750 р.)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продление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переоформление(3500 т.р.)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переоформление(750 р.)</w:t>
            </w:r>
          </w:p>
        </w:tc>
      </w:tr>
      <w:tr w:rsidR="00274713" w:rsidTr="00274713">
        <w:trPr>
          <w:tblCellSpacing w:w="15" w:type="dxa"/>
        </w:trPr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ЛЧО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1. 180 108 0708 10 10 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</w:t>
            </w:r>
          </w:p>
          <w:p w:rsidR="00274713" w:rsidRDefault="0027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2. 180 108 0708 10 10 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180 108 0708 10 10 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1. 180 108 0708 10 10 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</w:t>
            </w:r>
          </w:p>
          <w:p w:rsidR="00274713" w:rsidRDefault="0027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2. 180 108 0708 10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</w:t>
            </w:r>
          </w:p>
        </w:tc>
      </w:tr>
      <w:tr w:rsidR="00274713" w:rsidTr="00274713">
        <w:trPr>
          <w:tblCellSpacing w:w="15" w:type="dxa"/>
        </w:trPr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274713" w:rsidRDefault="002747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лицензии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выдача (7500 т.р.)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продление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переоформление (3500 т.р.)</w:t>
            </w:r>
          </w:p>
        </w:tc>
      </w:tr>
      <w:tr w:rsidR="00274713" w:rsidTr="00274713">
        <w:trPr>
          <w:tblCellSpacing w:w="15" w:type="dxa"/>
        </w:trPr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ЛТО, ЛТП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180 108 0708 10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180 108 0708 10 10 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</w:t>
            </w:r>
          </w:p>
        </w:tc>
      </w:tr>
      <w:tr w:rsidR="00274713" w:rsidTr="00274713">
        <w:trPr>
          <w:tblCellSpacing w:w="15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Разрешения юридических лиц</w:t>
            </w:r>
          </w:p>
        </w:tc>
      </w:tr>
      <w:tr w:rsidR="00274713" w:rsidTr="00274713">
        <w:trPr>
          <w:tblCellSpacing w:w="15" w:type="dxa"/>
        </w:trPr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разрешения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выдача (500 р.)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продление (500 р.)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переоформление (250 р.)</w:t>
            </w:r>
          </w:p>
        </w:tc>
      </w:tr>
      <w:tr w:rsidR="00274713" w:rsidTr="00274713">
        <w:trPr>
          <w:tblCellSpacing w:w="15" w:type="dxa"/>
        </w:trPr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РТЮ, РХ, РХТ, РФ, РХИ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180 108 0744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180 108 0744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713" w:rsidRDefault="00274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180 108 0744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</w:t>
            </w:r>
          </w:p>
        </w:tc>
      </w:tr>
    </w:tbl>
    <w:p w:rsidR="00274713" w:rsidRDefault="00274713" w:rsidP="00274713"/>
    <w:p w:rsidR="00E75C85" w:rsidRDefault="00274713" w:rsidP="00274713">
      <w:pPr>
        <w:tabs>
          <w:tab w:val="left" w:pos="1386"/>
        </w:tabs>
      </w:pPr>
      <w:r>
        <w:lastRenderedPageBreak/>
        <w:tab/>
      </w:r>
    </w:p>
    <w:p w:rsidR="00274713" w:rsidRPr="00274713" w:rsidRDefault="00274713" w:rsidP="00274713">
      <w:pPr>
        <w:tabs>
          <w:tab w:val="left" w:pos="1386"/>
        </w:tabs>
      </w:pPr>
    </w:p>
    <w:sectPr w:rsidR="00274713" w:rsidRPr="00274713" w:rsidSect="00E7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4713"/>
    <w:rsid w:val="000E33BE"/>
    <w:rsid w:val="00160CE7"/>
    <w:rsid w:val="0020121B"/>
    <w:rsid w:val="00274713"/>
    <w:rsid w:val="0050397F"/>
    <w:rsid w:val="00625FFC"/>
    <w:rsid w:val="007738E8"/>
    <w:rsid w:val="00B83084"/>
    <w:rsid w:val="00E75C85"/>
    <w:rsid w:val="00EF70A7"/>
    <w:rsid w:val="00F7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6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993</Words>
  <Characters>5665</Characters>
  <Application>Microsoft Office Word</Application>
  <DocSecurity>0</DocSecurity>
  <Lines>47</Lines>
  <Paragraphs>13</Paragraphs>
  <ScaleCrop>false</ScaleCrop>
  <Company/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2018-06-27T13:07:00Z</dcterms:created>
  <dcterms:modified xsi:type="dcterms:W3CDTF">2018-06-27T13:14:00Z</dcterms:modified>
</cp:coreProperties>
</file>