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EC9" w:rsidRDefault="00956EC9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956EC9" w:rsidRDefault="00956EC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956EC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6EC9" w:rsidRDefault="00956EC9">
            <w:pPr>
              <w:pStyle w:val="ConsPlusNormal"/>
            </w:pPr>
            <w:r>
              <w:t>1 августа 2019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56EC9" w:rsidRDefault="00956EC9">
            <w:pPr>
              <w:pStyle w:val="ConsPlusNormal"/>
              <w:jc w:val="right"/>
            </w:pPr>
            <w:r>
              <w:t>N 178-ЗС</w:t>
            </w:r>
          </w:p>
        </w:tc>
      </w:tr>
    </w:tbl>
    <w:p w:rsidR="00956EC9" w:rsidRDefault="00956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jc w:val="center"/>
      </w:pPr>
      <w:r>
        <w:t>ОБЛАСТНОЙ ЗАКОН</w:t>
      </w:r>
    </w:p>
    <w:p w:rsidR="00956EC9" w:rsidRDefault="00956EC9">
      <w:pPr>
        <w:pStyle w:val="ConsPlusTitle"/>
        <w:jc w:val="center"/>
      </w:pPr>
      <w:r>
        <w:t>РОСТОВСКОЙ ОБЛАСТИ</w:t>
      </w:r>
    </w:p>
    <w:p w:rsidR="00956EC9" w:rsidRDefault="00956EC9">
      <w:pPr>
        <w:pStyle w:val="ConsPlusTitle"/>
        <w:ind w:firstLine="540"/>
        <w:jc w:val="both"/>
      </w:pPr>
    </w:p>
    <w:p w:rsidR="00956EC9" w:rsidRDefault="00956EC9">
      <w:pPr>
        <w:pStyle w:val="ConsPlusTitle"/>
        <w:jc w:val="center"/>
      </w:pPr>
      <w:r>
        <w:t>ОБ ИНИЦИАТИВНЫХ ПРОЕКТАХ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jc w:val="right"/>
      </w:pPr>
      <w:proofErr w:type="gramStart"/>
      <w:r>
        <w:t>Принят</w:t>
      </w:r>
      <w:proofErr w:type="gramEnd"/>
    </w:p>
    <w:p w:rsidR="00956EC9" w:rsidRDefault="00956EC9">
      <w:pPr>
        <w:pStyle w:val="ConsPlusNormal"/>
        <w:jc w:val="right"/>
      </w:pPr>
      <w:r>
        <w:t>Законодательным Собранием</w:t>
      </w:r>
    </w:p>
    <w:p w:rsidR="00956EC9" w:rsidRDefault="00956EC9">
      <w:pPr>
        <w:pStyle w:val="ConsPlusNormal"/>
        <w:jc w:val="right"/>
      </w:pPr>
      <w:r>
        <w:t>25 июля 2019 года</w:t>
      </w:r>
    </w:p>
    <w:p w:rsidR="00956EC9" w:rsidRDefault="00956EC9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60"/>
        <w:gridCol w:w="113"/>
        <w:gridCol w:w="9069"/>
        <w:gridCol w:w="113"/>
      </w:tblGrid>
      <w:tr w:rsidR="00956EC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C9" w:rsidRDefault="00956EC9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C9" w:rsidRDefault="00956EC9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56EC9" w:rsidRDefault="00956EC9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56EC9" w:rsidRDefault="00956EC9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Областного </w:t>
            </w:r>
            <w:hyperlink r:id="rId5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РО от 11.12.2020 N 411-ЗС)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56EC9" w:rsidRDefault="00956EC9">
            <w:pPr>
              <w:spacing w:after="1" w:line="0" w:lineRule="atLeast"/>
            </w:pPr>
          </w:p>
        </w:tc>
      </w:tr>
    </w:tbl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1. Общие положения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6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Областной закон 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(далее - Федеральный закон "Об общих принципах организации местного самоуправления в Российской Федерации") определяет особенности рассмотрения инициативных проектов, выдвигаемых для получения финансовой поддержки за счет субсидий из областного бюджета (далее - инициативные проекты), а также критерии конкурсного отбора</w:t>
      </w:r>
      <w:proofErr w:type="gramEnd"/>
      <w:r>
        <w:t xml:space="preserve"> инициативных проектов.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2. В настоящем Областном законе используются основные понятия, предусмотренные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2. Цели, задачи и принципы реализации инициативных проектов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1. Основными целями реализации инициативных проектов являются: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1) осуществление мероприятий, имеющих приоритетное значение для жителей муниципальных образований в Ростовской области, по решению вопросов местного значения или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2) активизация участия жителей муниципальных образований в Ростовской области в определении приоритетов расходования средств местных бюджетов.</w:t>
      </w:r>
    </w:p>
    <w:p w:rsidR="00956EC9" w:rsidRDefault="00956EC9">
      <w:pPr>
        <w:pStyle w:val="ConsPlusNormal"/>
        <w:jc w:val="both"/>
      </w:pPr>
      <w:r>
        <w:t xml:space="preserve">(часть 1 в ред. Областного </w:t>
      </w:r>
      <w:hyperlink r:id="rId10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2. Задачами реализации инициативных проектов являются: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11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1) совершенствование механизмов взаимодействия жителей муниципальных образований в Ростовской области и органов местного самоуправления в решении вопросов местного значения 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самоуправления;</w:t>
      </w:r>
    </w:p>
    <w:p w:rsidR="00956EC9" w:rsidRDefault="00956EC9">
      <w:pPr>
        <w:pStyle w:val="ConsPlusNormal"/>
        <w:jc w:val="both"/>
      </w:pPr>
      <w:r>
        <w:t xml:space="preserve">(п. 1 в ред. Областного </w:t>
      </w:r>
      <w:hyperlink r:id="rId12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lastRenderedPageBreak/>
        <w:t>2) повышение открытости деятельности органов местного самоуправления при формировании и исполнении местного бюджета, а также информированности и финансовой грамотности жителей муниципальных образований в Ростовской области;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3) повышение заинтересованности жителей муниципальных образований в Ростовской области в решении вопросов местного значения и иных вопросов,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самоуправления;</w:t>
      </w:r>
    </w:p>
    <w:p w:rsidR="00956EC9" w:rsidRDefault="00956EC9">
      <w:pPr>
        <w:pStyle w:val="ConsPlusNormal"/>
        <w:jc w:val="both"/>
      </w:pPr>
      <w:r>
        <w:t xml:space="preserve">(п. 3 в ред. Областного </w:t>
      </w:r>
      <w:hyperlink r:id="rId13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4) усиление общественного </w:t>
      </w:r>
      <w:proofErr w:type="gramStart"/>
      <w:r>
        <w:t>контроля за</w:t>
      </w:r>
      <w:proofErr w:type="gramEnd"/>
      <w:r>
        <w:t xml:space="preserve"> деятельностью органов местного самоуправления.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3. Реализация инициативных проектов осуществляется на основе следующих принципов: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1) отбор инициативных проектов на конкурсной основе (далее также - конкурсный отбор);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15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2) равный доступ жителей муниципальных образований в Ростовской области к участию в конкурсном отборе;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3) открытость и гласность процедур проведения конкурсного отбора.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3. Полномочия органов исполнительной власти Ростовской области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16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1. Правительство Ростовской области: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1) определяет уполномоченный орган исполнительной власти Ростовской области по организации проведения конкурсного отбора инициативных проектов (далее - уполномоченный орган);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2) устанавливает требования к составу сведений, которые должны содержать инициативные проекты;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3) утверждает типовое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муниципальной комиссии по проведению конкурсного отбора инициативных проектов (далее - муниципальная конкурсная комиссия);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4) образует областную комиссию по проведению конкурсного отбора инициативных проектов (далее - областная конкурсная комиссия) и утверждает </w:t>
      </w:r>
      <w:hyperlink r:id="rId18" w:history="1">
        <w:r>
          <w:rPr>
            <w:color w:val="0000FF"/>
          </w:rPr>
          <w:t>положение</w:t>
        </w:r>
      </w:hyperlink>
      <w:r>
        <w:t xml:space="preserve"> о ней;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5) устанавливает </w:t>
      </w:r>
      <w:hyperlink r:id="rId19" w:history="1">
        <w:r>
          <w:rPr>
            <w:color w:val="0000FF"/>
          </w:rPr>
          <w:t>порядок</w:t>
        </w:r>
      </w:hyperlink>
      <w:r>
        <w:t xml:space="preserve"> рассмотрения инициативных проектов, в том числе основания для отказа в их поддержке, порядок, сроки проведения конкурсного отбора, порядок </w:t>
      </w:r>
      <w:proofErr w:type="gramStart"/>
      <w:r>
        <w:t>контроля за</w:t>
      </w:r>
      <w:proofErr w:type="gramEnd"/>
      <w:r>
        <w:t xml:space="preserve"> реализацией инициативных проектов;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6) утверждает результаты конкурсного отбора, проводимого областной конкурсной комиссией;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7) осуществляет иные полномочия в соответствии с федеральным и областным законодательством.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2. Уполномоченный орган: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1) осуществляет организационное обеспечение деятельности областной конкурсной комиссии;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2) взаимодействует с государственными органами Ростовской области и органами местного самоуправления;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lastRenderedPageBreak/>
        <w:t>3) осуществляет информационную и консультационную поддержку в сфере реализации инициативных проектов;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4) осуществляет иные полномочия в случаях, установленных настоящим Областным законом и нормативными правовыми актами Правительства Ростовской области.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4. Выдвижение, внесение и обсуждение инициативных проектов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20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 xml:space="preserve">1. Выдвижение, внесение и обсуждение инициативных проектов осуществляются в порядке, установленном нормативным правовым актом представительного органа муниципального образования в соответствии с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общих принципах организации местного самоуправления в Российской Федерации".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2. Правительством Ростовской области могут быть определены приоритетные направления реализации инициативных проектов.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3. Срок реализации инициативного проекта не может превышать один год.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5. Рассмотрение инициативных проектов муниципальными конкурсными комиссиями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22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1. Для рассмотрения инициативных проектов при местных администрациях муниципальных районов, городских округов формируются муниципальные конкурсные комиссии.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Порядок формирования и деятельности муниципальной конкурсной комиссии определяется нормативным правовым актом представительного органа муниципального образования в соответствии с типовым </w:t>
      </w:r>
      <w:hyperlink r:id="rId23" w:history="1">
        <w:r>
          <w:rPr>
            <w:color w:val="0000FF"/>
          </w:rPr>
          <w:t>положением</w:t>
        </w:r>
      </w:hyperlink>
      <w:r>
        <w:t xml:space="preserve"> о муниципальной конкурсной комиссии, утвержденным Правительством Ростовской области.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Состав муниципальной конкурсной комиссии формируется местной администрацией муниципального района, городского округа.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2. Муниципальная конкурсная комиссия рассматривает и отбирает инициативные проекты в соответствии с </w:t>
      </w:r>
      <w:hyperlink r:id="rId24" w:history="1">
        <w:r>
          <w:rPr>
            <w:color w:val="0000FF"/>
          </w:rPr>
          <w:t>порядком</w:t>
        </w:r>
      </w:hyperlink>
      <w:r>
        <w:t xml:space="preserve"> проведения конкурсного отбора, установленным Правительством Ростовской области, и с учетом критериев, предусмотренных </w:t>
      </w:r>
      <w:hyperlink w:anchor="P79" w:history="1">
        <w:r>
          <w:rPr>
            <w:color w:val="0000FF"/>
          </w:rPr>
          <w:t>частью 2 статьи 6</w:t>
        </w:r>
      </w:hyperlink>
      <w:r>
        <w:t xml:space="preserve"> настоящего Областного закона.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6. Проведение конкурсного отбора областной конкурсной комиссией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1. Местные администрации муниципальных районов, городских округов направляют отобранные инициативные проекты в областную конкурсную комиссию.</w:t>
      </w:r>
    </w:p>
    <w:p w:rsidR="00956EC9" w:rsidRDefault="00956EC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Областного </w:t>
      </w:r>
      <w:hyperlink r:id="rId25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bookmarkStart w:id="0" w:name="P79"/>
      <w:bookmarkEnd w:id="0"/>
      <w:r>
        <w:t>2. Областная конкурсная комиссия осуществляет конкурсный отбор с учетом следующих критериев: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1) актуальность и социальная значимость инициативного проекта;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26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2) доля инициативных платежей в </w:t>
      </w:r>
      <w:proofErr w:type="spellStart"/>
      <w:r>
        <w:t>софинансировании</w:t>
      </w:r>
      <w:proofErr w:type="spellEnd"/>
      <w:r>
        <w:t xml:space="preserve"> инициативного проекта;</w:t>
      </w:r>
    </w:p>
    <w:p w:rsidR="00956EC9" w:rsidRDefault="00956EC9">
      <w:pPr>
        <w:pStyle w:val="ConsPlusNormal"/>
        <w:jc w:val="both"/>
      </w:pPr>
      <w:r>
        <w:t xml:space="preserve">(п. 2 в ред. Областного </w:t>
      </w:r>
      <w:hyperlink r:id="rId27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3) степень имущественного и (или) трудового участия заинтересованных лиц в реализации инициативного проекта;</w:t>
      </w:r>
    </w:p>
    <w:p w:rsidR="00956EC9" w:rsidRDefault="00956EC9">
      <w:pPr>
        <w:pStyle w:val="ConsPlusNormal"/>
        <w:jc w:val="both"/>
      </w:pPr>
      <w:r>
        <w:lastRenderedPageBreak/>
        <w:t xml:space="preserve">(п. 3 в ред. Областного </w:t>
      </w:r>
      <w:hyperlink r:id="rId28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4) наличие технической документации, позволяющей определить стоимость и возможность реализации инициативного проекта;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29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5) наличие права собственности соответствующих муниципальных образований на объекты (включая земельные участки, на которых расположены такие объекты либо планируется их размещение), строительство, реконструкцию, капитальный или текущий ремонт которых планируется осуществить в рамках реализации инициативных проектов.</w:t>
      </w:r>
    </w:p>
    <w:p w:rsidR="00956EC9" w:rsidRDefault="00956EC9">
      <w:pPr>
        <w:pStyle w:val="ConsPlusNormal"/>
        <w:jc w:val="both"/>
      </w:pPr>
      <w:r>
        <w:t xml:space="preserve">(в ред. Областного </w:t>
      </w:r>
      <w:hyperlink r:id="rId30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3. Конкурсный отбор осуществляется областной конкурсной комиссией в порядке, установленном Правительством Ростовской области.</w:t>
      </w:r>
    </w:p>
    <w:p w:rsidR="00956EC9" w:rsidRDefault="00956EC9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3 в ред. Областного </w:t>
      </w:r>
      <w:hyperlink r:id="rId31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4. Максимальное количество инициативных проектов, которые могут быть отобраны по результатам конкурсного отбора от одного муниципального района, городского округа в течение одного года, определяется Правительством Ростовской области.</w:t>
      </w:r>
    </w:p>
    <w:p w:rsidR="00956EC9" w:rsidRDefault="00956EC9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Областного </w:t>
      </w:r>
      <w:hyperlink r:id="rId32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bookmarkStart w:id="1" w:name="P95"/>
      <w:bookmarkEnd w:id="1"/>
      <w:r>
        <w:t>Статья 7. Финансовое обеспечение расходных обязательств муниципальных образований по реализации инициативных проектов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33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 xml:space="preserve">1. Финансовое обеспечение расходных обязательств муниципальных образований по реализации инициативных проектов за счет средств областного бюджета осуществляется путем предоставления субсидий бюджетам муниципальных районов и городских округов на </w:t>
      </w:r>
      <w:proofErr w:type="spellStart"/>
      <w:r>
        <w:t>софинансирование</w:t>
      </w:r>
      <w:proofErr w:type="spellEnd"/>
      <w:r>
        <w:t xml:space="preserve"> расходных обязательств, возникающих при выполнении полномочий органов местного самоуправления по вопросам местного значения или иным вопросам, право </w:t>
      </w:r>
      <w:proofErr w:type="gramStart"/>
      <w:r>
        <w:t>решения</w:t>
      </w:r>
      <w:proofErr w:type="gramEnd"/>
      <w:r>
        <w:t xml:space="preserve"> которых предоставлено органам местного самоуправления.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Предельный размер субсидии местному бюджету, предоставляемой из областного бюджета на реализацию одного инициативного проекта, не может превышать 2000 тыс. рублей.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2. Субсидия предоставляется при условии включения в состав </w:t>
      </w:r>
      <w:proofErr w:type="gramStart"/>
      <w:r>
        <w:t>источников финансового обеспечения реализации инициативного проекта инициативных платежей</w:t>
      </w:r>
      <w:proofErr w:type="gramEnd"/>
      <w:r>
        <w:t>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Минимальная доля инициативных платежей составляет 5 процентов от общей суммы реализации инициативного проекта.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8. Информационное обеспечение реализации инициативных проектов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Информационное обеспечение в сфере реализации инициативных проектов осуществляется посредством: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>1) размещения на официальном сайте Правительства Ростовской области в информационно-телекоммуникационной сети "Интернет" информационных, тематических, справочных, методических и иных материалов по основным направлениям реализации инициативных проектов;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2) опубликования в средствах массовой информации, размещения на официальном сайте Правительства Ростовской области в информационно-телекоммуникационной сети "Интернет" извещений о проведении конкурсных отборов, информации о результатах конкурсных отборов и </w:t>
      </w:r>
      <w:r>
        <w:lastRenderedPageBreak/>
        <w:t>отчетов об итогах реализации инициативных проектов;</w:t>
      </w:r>
    </w:p>
    <w:p w:rsidR="00956EC9" w:rsidRDefault="00956EC9">
      <w:pPr>
        <w:pStyle w:val="ConsPlusNormal"/>
        <w:spacing w:before="220"/>
        <w:ind w:firstLine="540"/>
        <w:jc w:val="both"/>
      </w:pPr>
      <w:proofErr w:type="gramStart"/>
      <w:r>
        <w:t>3) опубликования (обнародования) и размещения на официальном сайте муниципального образования в информационно-телекоммуникационной сети "Интернет" информации о внесении инициативного проекта в местную администрацию, о возможности представления замечаний и предложений по инициативному проекту с указанием срока их представления, о рассмотрении инициативного проекта местной администрацией, в том числе извещений о проведении конкурсных отборов муниципальной конкурсной комиссией, информации о результатах конкурсных отборов, о ходе</w:t>
      </w:r>
      <w:proofErr w:type="gramEnd"/>
      <w:r>
        <w:t xml:space="preserve">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а также отчетов местных администраций об итогах реализации инициативного проекта.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 xml:space="preserve">Статья 9. Отчеты об </w:t>
      </w:r>
      <w:proofErr w:type="gramStart"/>
      <w:r>
        <w:t>итогах</w:t>
      </w:r>
      <w:proofErr w:type="gramEnd"/>
      <w:r>
        <w:t xml:space="preserve"> реализации инициативных проектов</w:t>
      </w:r>
    </w:p>
    <w:p w:rsidR="00956EC9" w:rsidRDefault="00956EC9">
      <w:pPr>
        <w:pStyle w:val="ConsPlusNormal"/>
        <w:ind w:firstLine="540"/>
        <w:jc w:val="both"/>
      </w:pPr>
      <w:r>
        <w:t xml:space="preserve">(в ред. Областного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РО от 11.12.2020 N 411-ЗС)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 xml:space="preserve">1. </w:t>
      </w:r>
      <w:proofErr w:type="gramStart"/>
      <w:r>
        <w:t>Местные администрации муниципальных районов, городских округов представляют отчеты об итогах реализации на территории соответствующих муниципальных образований инициативных проектов в уполномоченный орган в срок и по форме, определенные Правительством Ростовской области.</w:t>
      </w:r>
      <w:proofErr w:type="gramEnd"/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Местные администрации муниципальных районов, городских округов размещают отчеты об итогах реализации инициативных проектов на официальных сайтах муниципальных образований в информационно-телекоммуникационной сети "Интернет" в течение 30 календарных дней со дня завершения их реализации.</w:t>
      </w:r>
      <w:proofErr w:type="gramEnd"/>
    </w:p>
    <w:p w:rsidR="00956EC9" w:rsidRDefault="00956EC9">
      <w:pPr>
        <w:pStyle w:val="ConsPlusNormal"/>
        <w:spacing w:before="220"/>
        <w:ind w:firstLine="540"/>
        <w:jc w:val="both"/>
      </w:pPr>
      <w:proofErr w:type="gramStart"/>
      <w:r>
        <w:t>Уполномоченный орган размещает отчеты об итогах реализации инициативных проектов на официальном сайте Правительства Ростовской области в информационно-телекоммуникационной сети "Интернет" не позднее 31 января года, следующего за годом, в котором реализованы соответствующие инициативные проекты.</w:t>
      </w:r>
      <w:proofErr w:type="gramEnd"/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Title"/>
        <w:ind w:firstLine="540"/>
        <w:jc w:val="both"/>
        <w:outlineLvl w:val="0"/>
      </w:pPr>
      <w:r>
        <w:t>Статья 10. Заключительные положения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ind w:firstLine="540"/>
        <w:jc w:val="both"/>
      </w:pPr>
      <w:r>
        <w:t>1. Настоящий Областной закон вступает в силу со дня его официального опубликования.</w:t>
      </w:r>
    </w:p>
    <w:p w:rsidR="00956EC9" w:rsidRDefault="00956EC9">
      <w:pPr>
        <w:pStyle w:val="ConsPlusNormal"/>
        <w:spacing w:before="220"/>
        <w:ind w:firstLine="540"/>
        <w:jc w:val="both"/>
      </w:pPr>
      <w:r>
        <w:t xml:space="preserve">Положения </w:t>
      </w:r>
      <w:hyperlink w:anchor="P95" w:history="1">
        <w:r>
          <w:rPr>
            <w:color w:val="0000FF"/>
          </w:rPr>
          <w:t>абзаца второго части 3 статьи 7</w:t>
        </w:r>
      </w:hyperlink>
      <w:r>
        <w:t xml:space="preserve"> настоящего Областного закона применяются с учетом особенностей, установленных </w:t>
      </w:r>
      <w:hyperlink w:anchor="P122" w:history="1">
        <w:r>
          <w:rPr>
            <w:color w:val="0000FF"/>
          </w:rPr>
          <w:t>частью 2</w:t>
        </w:r>
      </w:hyperlink>
      <w:r>
        <w:t xml:space="preserve"> настоящей статьи.</w:t>
      </w:r>
    </w:p>
    <w:p w:rsidR="00956EC9" w:rsidRDefault="00956EC9">
      <w:pPr>
        <w:pStyle w:val="ConsPlusNormal"/>
        <w:spacing w:before="220"/>
        <w:ind w:firstLine="540"/>
        <w:jc w:val="both"/>
      </w:pPr>
      <w:bookmarkStart w:id="2" w:name="P122"/>
      <w:bookmarkEnd w:id="2"/>
      <w:r>
        <w:t xml:space="preserve">2. К участию в первом конкурсном отборе, проводимом после вступления в силу настоящего Областного закона, допускаются проекты инициативного </w:t>
      </w:r>
      <w:proofErr w:type="spellStart"/>
      <w:r>
        <w:t>бюджетирования</w:t>
      </w:r>
      <w:proofErr w:type="spellEnd"/>
      <w:r>
        <w:t xml:space="preserve">, в реализации которых совокупная доля финансового участия физических и (или) юридических лиц составляет не менее 1 процента от общей суммы реализации проекта инициативного </w:t>
      </w:r>
      <w:proofErr w:type="spellStart"/>
      <w:r>
        <w:t>бюджетирования</w:t>
      </w:r>
      <w:proofErr w:type="spellEnd"/>
      <w:r>
        <w:t>.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jc w:val="right"/>
      </w:pPr>
      <w:r>
        <w:t>Губернатор</w:t>
      </w:r>
    </w:p>
    <w:p w:rsidR="00956EC9" w:rsidRDefault="00956EC9">
      <w:pPr>
        <w:pStyle w:val="ConsPlusNormal"/>
        <w:jc w:val="right"/>
      </w:pPr>
      <w:r>
        <w:t>Ростовской области</w:t>
      </w:r>
    </w:p>
    <w:p w:rsidR="00956EC9" w:rsidRDefault="00956EC9">
      <w:pPr>
        <w:pStyle w:val="ConsPlusNormal"/>
        <w:jc w:val="right"/>
      </w:pPr>
      <w:r>
        <w:t>В.Ю.</w:t>
      </w:r>
      <w:proofErr w:type="gramStart"/>
      <w:r>
        <w:t>ГОЛУБЕВ</w:t>
      </w:r>
      <w:proofErr w:type="gramEnd"/>
    </w:p>
    <w:p w:rsidR="00956EC9" w:rsidRDefault="00956EC9">
      <w:pPr>
        <w:pStyle w:val="ConsPlusNormal"/>
      </w:pPr>
      <w:r>
        <w:t>г. Ростов-на-Дону</w:t>
      </w:r>
    </w:p>
    <w:p w:rsidR="00956EC9" w:rsidRDefault="00956EC9">
      <w:pPr>
        <w:pStyle w:val="ConsPlusNormal"/>
        <w:spacing w:before="220"/>
      </w:pPr>
      <w:r>
        <w:t>1 августа 2019 года</w:t>
      </w:r>
    </w:p>
    <w:p w:rsidR="00956EC9" w:rsidRDefault="00956EC9">
      <w:pPr>
        <w:pStyle w:val="ConsPlusNormal"/>
        <w:spacing w:before="220"/>
      </w:pPr>
      <w:r>
        <w:t>N 178-ЗС</w:t>
      </w: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jc w:val="both"/>
      </w:pPr>
    </w:p>
    <w:p w:rsidR="00956EC9" w:rsidRDefault="00956EC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0C2C" w:rsidRDefault="00E10C2C"/>
    <w:sectPr w:rsidR="00E10C2C" w:rsidSect="00A66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EC9"/>
    <w:rsid w:val="000340ED"/>
    <w:rsid w:val="008F3220"/>
    <w:rsid w:val="00942F94"/>
    <w:rsid w:val="00956EC9"/>
    <w:rsid w:val="009753DD"/>
    <w:rsid w:val="00982D1D"/>
    <w:rsid w:val="00B65A18"/>
    <w:rsid w:val="00C6246A"/>
    <w:rsid w:val="00E03F40"/>
    <w:rsid w:val="00E1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56E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56EC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C45D339DBA4BD3170765EAF4500EBD8292EF04C8F1D140269E4F7A42B3B377DBC4619C2311C9333746018EF90V4R2I" TargetMode="External"/><Relationship Id="rId13" Type="http://schemas.openxmlformats.org/officeDocument/2006/relationships/hyperlink" Target="consultantplus://offline/ref=FC45D339DBA4BD3170765EB9466CB4DD2B25AB498D1F175433B3F1F3746B3128EE06479B73508032717E1AED964BC9DDB2C9546D7D8FADC4D3B6CFB3V7RAI" TargetMode="External"/><Relationship Id="rId18" Type="http://schemas.openxmlformats.org/officeDocument/2006/relationships/hyperlink" Target="consultantplus://offline/ref=FC45D339DBA4BD3170765EB9466CB4DD2B25AB498D1E165732B9F1F3746B3128EE06479B73508032717E19EB954BC9DDB2C9546D7D8FADC4D3B6CFB3V7RAI" TargetMode="External"/><Relationship Id="rId26" Type="http://schemas.openxmlformats.org/officeDocument/2006/relationships/hyperlink" Target="consultantplus://offline/ref=FC45D339DBA4BD3170765EB9466CB4DD2B25AB498D1F175433B3F1F3746B3128EE06479B73508032717E1AE9924BC9DDB2C9546D7D8FADC4D3B6CFB3V7RA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C45D339DBA4BD3170765EAF4500EBD8292EF04C8F1D140269E4F7A42B3B377DBC4619C2311C9333746018EF90V4R2I" TargetMode="External"/><Relationship Id="rId34" Type="http://schemas.openxmlformats.org/officeDocument/2006/relationships/hyperlink" Target="consultantplus://offline/ref=FC45D339DBA4BD3170765EB9466CB4DD2B25AB498D1F175433B3F1F3746B3128EE06479B73508032717E1AE8944BC9DDB2C9546D7D8FADC4D3B6CFB3V7RAI" TargetMode="External"/><Relationship Id="rId7" Type="http://schemas.openxmlformats.org/officeDocument/2006/relationships/hyperlink" Target="consultantplus://offline/ref=FC45D339DBA4BD3170765EAF4500EBD8292EF04C8F1D140269E4F7A42B3B377DAE4641C634128667203A4FE29348838CF3825B6C77V9R3I" TargetMode="External"/><Relationship Id="rId12" Type="http://schemas.openxmlformats.org/officeDocument/2006/relationships/hyperlink" Target="consultantplus://offline/ref=FC45D339DBA4BD3170765EB9466CB4DD2B25AB498D1F175433B3F1F3746B3128EE06479B73508032717E1AED904BC9DDB2C9546D7D8FADC4D3B6CFB3V7RAI" TargetMode="External"/><Relationship Id="rId17" Type="http://schemas.openxmlformats.org/officeDocument/2006/relationships/hyperlink" Target="consultantplus://offline/ref=FC45D339DBA4BD3170765EB9466CB4DD2B25AB498D1E165732B9F1F3746B3128EE06479B73508032717E19E9974BC9DDB2C9546D7D8FADC4D3B6CFB3V7RAI" TargetMode="External"/><Relationship Id="rId25" Type="http://schemas.openxmlformats.org/officeDocument/2006/relationships/hyperlink" Target="consultantplus://offline/ref=FC45D339DBA4BD3170765EB9466CB4DD2B25AB498D1F175433B3F1F3746B3128EE06479B73508032717E1AEA954BC9DDB2C9546D7D8FADC4D3B6CFB3V7RAI" TargetMode="External"/><Relationship Id="rId33" Type="http://schemas.openxmlformats.org/officeDocument/2006/relationships/hyperlink" Target="consultantplus://offline/ref=FC45D339DBA4BD3170765EB9466CB4DD2B25AB498D1F175433B3F1F3746B3128EE06479B73508032717E1AE8924BC9DDB2C9546D7D8FADC4D3B6CFB3V7RA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C45D339DBA4BD3170765EB9466CB4DD2B25AB498D1F175433B3F1F3746B3128EE06479B73508032717E1AEC924BC9DDB2C9546D7D8FADC4D3B6CFB3V7RAI" TargetMode="External"/><Relationship Id="rId20" Type="http://schemas.openxmlformats.org/officeDocument/2006/relationships/hyperlink" Target="consultantplus://offline/ref=FC45D339DBA4BD3170765EB9466CB4DD2B25AB498D1F175433B3F1F3746B3128EE06479B73508032717E1AEB974BC9DDB2C9546D7D8FADC4D3B6CFB3V7RAI" TargetMode="External"/><Relationship Id="rId29" Type="http://schemas.openxmlformats.org/officeDocument/2006/relationships/hyperlink" Target="consultantplus://offline/ref=FC45D339DBA4BD3170765EB9466CB4DD2B25AB498D1F175433B3F1F3746B3128EE06479B73508032717E1AE9974BC9DDB2C9546D7D8FADC4D3B6CFB3V7R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C45D339DBA4BD3170765EB9466CB4DD2B25AB498D1F175433B3F1F3746B3128EE06479B73508032717E1AEE924BC9DDB2C9546D7D8FADC4D3B6CFB3V7RAI" TargetMode="External"/><Relationship Id="rId11" Type="http://schemas.openxmlformats.org/officeDocument/2006/relationships/hyperlink" Target="consultantplus://offline/ref=FC45D339DBA4BD3170765EB9466CB4DD2B25AB498D1F175433B3F1F3746B3128EE06479B73508032717E1AED934BC9DDB2C9546D7D8FADC4D3B6CFB3V7RAI" TargetMode="External"/><Relationship Id="rId24" Type="http://schemas.openxmlformats.org/officeDocument/2006/relationships/hyperlink" Target="consultantplus://offline/ref=FC45D339DBA4BD3170765EB9466CB4DD2B25AB498D1E165732B9F1F3746B3128EE06479B73508032717E19E7924BC9DDB2C9546D7D8FADC4D3B6CFB3V7RAI" TargetMode="External"/><Relationship Id="rId32" Type="http://schemas.openxmlformats.org/officeDocument/2006/relationships/hyperlink" Target="consultantplus://offline/ref=FC45D339DBA4BD3170765EB9466CB4DD2B25AB498D1F175433B3F1F3746B3128EE06479B73508032717E1AE99B4BC9DDB2C9546D7D8FADC4D3B6CFB3V7RAI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FC45D339DBA4BD3170765EB9466CB4DD2B25AB498D1F175433B3F1F3746B3128EE06479B73508032717E1AEF954BC9DDB2C9546D7D8FADC4D3B6CFB3V7RAI" TargetMode="External"/><Relationship Id="rId15" Type="http://schemas.openxmlformats.org/officeDocument/2006/relationships/hyperlink" Target="consultantplus://offline/ref=FC45D339DBA4BD3170765EB9466CB4DD2B25AB498D1F175433B3F1F3746B3128EE06479B73508032717E1AED9B4BC9DDB2C9546D7D8FADC4D3B6CFB3V7RAI" TargetMode="External"/><Relationship Id="rId23" Type="http://schemas.openxmlformats.org/officeDocument/2006/relationships/hyperlink" Target="consultantplus://offline/ref=FC45D339DBA4BD3170765EB9466CB4DD2B25AB498D1E165732B9F1F3746B3128EE06479B73508032717E19E9974BC9DDB2C9546D7D8FADC4D3B6CFB3V7RAI" TargetMode="External"/><Relationship Id="rId28" Type="http://schemas.openxmlformats.org/officeDocument/2006/relationships/hyperlink" Target="consultantplus://offline/ref=FC45D339DBA4BD3170765EB9466CB4DD2B25AB498D1F175433B3F1F3746B3128EE06479B73508032717E1AE9914BC9DDB2C9546D7D8FADC4D3B6CFB3V7RAI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FC45D339DBA4BD3170765EB9466CB4DD2B25AB498D1F175433B3F1F3746B3128EE06479B73508032717E1AEE944BC9DDB2C9546D7D8FADC4D3B6CFB3V7RAI" TargetMode="External"/><Relationship Id="rId19" Type="http://schemas.openxmlformats.org/officeDocument/2006/relationships/hyperlink" Target="consultantplus://offline/ref=FC45D339DBA4BD3170765EB9466CB4DD2B25AB498D1E165732B9F1F3746B3128EE06479B73508032717E1AEE9B4BC9DDB2C9546D7D8FADC4D3B6CFB3V7RAI" TargetMode="External"/><Relationship Id="rId31" Type="http://schemas.openxmlformats.org/officeDocument/2006/relationships/hyperlink" Target="consultantplus://offline/ref=FC45D339DBA4BD3170765EB9466CB4DD2B25AB498D1F175433B3F1F3746B3128EE06479B73508032717E1AE9954BC9DDB2C9546D7D8FADC4D3B6CFB3V7R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FC45D339DBA4BD3170765EB9466CB4DD2B25AB498D1F175433B3F1F3746B3128EE06479B73508032717E1AEE974BC9DDB2C9546D7D8FADC4D3B6CFB3V7RAI" TargetMode="External"/><Relationship Id="rId14" Type="http://schemas.openxmlformats.org/officeDocument/2006/relationships/hyperlink" Target="consultantplus://offline/ref=FC45D339DBA4BD3170765EB9466CB4DD2B25AB498D1F175433B3F1F3746B3128EE06479B73508032717E1AED954BC9DDB2C9546D7D8FADC4D3B6CFB3V7RAI" TargetMode="External"/><Relationship Id="rId22" Type="http://schemas.openxmlformats.org/officeDocument/2006/relationships/hyperlink" Target="consultantplus://offline/ref=FC45D339DBA4BD3170765EB9466CB4DD2B25AB498D1F175433B3F1F3746B3128EE06479B73508032717E1AEA924BC9DDB2C9546D7D8FADC4D3B6CFB3V7RAI" TargetMode="External"/><Relationship Id="rId27" Type="http://schemas.openxmlformats.org/officeDocument/2006/relationships/hyperlink" Target="consultantplus://offline/ref=FC45D339DBA4BD3170765EB9466CB4DD2B25AB498D1F175433B3F1F3746B3128EE06479B73508032717E1AE9934BC9DDB2C9546D7D8FADC4D3B6CFB3V7RAI" TargetMode="External"/><Relationship Id="rId30" Type="http://schemas.openxmlformats.org/officeDocument/2006/relationships/hyperlink" Target="consultantplus://offline/ref=FC45D339DBA4BD3170765EB9466CB4DD2B25AB498D1F175433B3F1F3746B3128EE06479B73508032717E1AE9944BC9DDB2C9546D7D8FADC4D3B6CFB3V7RAI" TargetMode="External"/><Relationship Id="rId35" Type="http://schemas.openxmlformats.org/officeDocument/2006/relationships/hyperlink" Target="consultantplus://offline/ref=FC45D339DBA4BD3170765EB9466CB4DD2B25AB498D1F175433B3F1F3746B3128EE06479B73508032717E1AE7904BC9DDB2C9546D7D8FADC4D3B6CFB3V7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2641</Words>
  <Characters>15055</Characters>
  <Application>Microsoft Office Word</Application>
  <DocSecurity>0</DocSecurity>
  <Lines>125</Lines>
  <Paragraphs>35</Paragraphs>
  <ScaleCrop>false</ScaleCrop>
  <Company/>
  <LinksUpToDate>false</LinksUpToDate>
  <CharactersWithSpaces>17661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2022-05-18T08:17:00Z</dcterms:created>
  <dcterms:modified xsi:type="dcterms:W3CDTF">2022-05-18T08:18:00Z</dcterms:modified>
</cp:coreProperties>
</file>